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Östra Luspenåivve i Arvidsjaurs kommun</w:t>
      </w:r>
    </w:p>
    <w:p>
      <w:r>
        <w:t>Detta dokument behandlar höga naturvärden i avverkningsanmälan Östra Luspenåivve i Arvidsjaurs kommun. Denna avverkningsanmälan inkom 2024-08-04 och omfattar 203,2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70 naturvårdsarter hittats: urskogsporing (EN), blackticka (VU), doftticka (VU, §8), fläckporing (VU), gräddporing (VU), knärot (VU, §8), lateritticka (VU), smalfotad taggsvamp (VU), tajgataggsvamp (VU), barkporlav (NT), blanksvart spiklav (NT), blå taggsvamp (NT), blågrå svartspik (NT), brunpudrad nållav (NT), doftskinn (NT), dvärgbägarlav (NT), gammelgransskål (NT), garnlav (NT), granticka (NT), gränsticka (NT), grå blåbärsfältmätare (NT), hornvaxskinn (NT), järpe (NT, §4), knottrig blåslav (NT), kolflarnlav (NT), kortskaftad ärgspik (NT), kådvaxskinn (NT), liten svartspik (NT), luddfingersvamp (NT), lunglav (NT), mörk kolflarnlav (NT), nordtagging (NT), orange taggsvamp (NT), rosenticka (NT), spillkråka (NT, §4), svart taggsvamp (NT), tallticka (NT), talltita (NT, §4), tretåig hackspett (NT, §4), ullticka (NT), vaddporing (NT), vedflamlav (NT), vedskivlav (NT), vedtrappmossa (NT), violmussling (NT), vitgrynig nållav (NT), vitplätt (NT), blodticka (S), bårdlav (S), dropptaggsvamp (S), jättesvampmal (S), källpraktmossa (S), luddlav (S), norrlandslav (S), nästlav (S), plattlummer (S, §9), skarp dropptaggsvamp (S), skinnlav (S), sotlav (S), spindelblomster (S, §8), stuplav (S), vedticka (S), vågbandad barkbock (S), ögonpyrola (S), kungsfågel (§4), lavskrika (§4), tjäder (§4), vanlig groda (§6), fläcknycklar (§8) och revlummer (§9). Av dessa är 47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16559"/>
            <wp:docPr id="1" name="Picture 1"/>
            <wp:cNvGraphicFramePr>
              <a:graphicFrameLocks noChangeAspect="1"/>
            </wp:cNvGraphicFramePr>
            <a:graphic>
              <a:graphicData uri="http://schemas.openxmlformats.org/drawingml/2006/picture">
                <pic:pic>
                  <pic:nvPicPr>
                    <pic:cNvPr id="0" name="Östra Luspenåivve karta.png"/>
                    <pic:cNvPicPr/>
                  </pic:nvPicPr>
                  <pic:blipFill>
                    <a:blip r:embed="rId16"/>
                    <a:stretch>
                      <a:fillRect/>
                    </a:stretch>
                  </pic:blipFill>
                  <pic:spPr>
                    <a:xfrm>
                      <a:off x="0" y="0"/>
                      <a:ext cx="5486400" cy="421655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7274230, E 704000 i SWEREF 99 TM.</w:t>
      </w:r>
    </w:p>
    <w:p>
      <w:pPr>
        <w:pStyle w:val="Heading1"/>
      </w:pPr>
      <w:r>
        <w:t>Fridlysta arter</w:t>
      </w:r>
    </w:p>
    <w:p>
      <w:r>
        <w:t>Följande fridlysta arter har sina livsmiljöer och växtplatser i den avverkningsanmälda skogen: doftticka (VU, §8), knärot (VU, §8), järpe (NT, §4), spillkråka (NT, §4), talltita (NT, §4), tretåig hackspett (NT, §4), plattlummer (S, §9), spindelblomster (S, §8), kungsfågel (§4), lavskrika (§4), tjäder (§4), vanlig groda (§6), fläcknycklar (§8)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Järpe (NT, §4)</w:t>
      </w:r>
      <w:r>
        <w:t xml:space="preserve">, rödlistad som nära hotad och prioriterad art i Skogsvårdslagen har häckningsrevir i avverkningsanmälan. Arten har minskat med 25 (10 - 40)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 </w:t>
      </w:r>
    </w:p>
    <w:p>
      <w:r>
        <w:rPr>
          <w:b/>
        </w:rPr>
        <w:t>Knärot (VU, §8)</w:t>
      </w:r>
      <w:r>
        <w:t xml:space="preserve"> är rödlistad som sårbar (VU). För att knärot inte ska ta skada av skogsbruksåtgärder i intilliggande skog krävs buffertzoner på minst 50 meter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2023).</w:t>
      </w:r>
    </w:p>
    <w:p>
      <w:r>
        <w:t>I det avverkningsanmälda området finns 119 fyndplatser för knärot registrerade på Artportalen. Figur 2 visar gränserna för buffertzoner på 50 m, som behöver lämnas kring fyndplatserna för att knärotslokalerna inte ska försvinna vid en avverkning. Av det avverkningsanmälda området överlappar 34.00 ha med buffertzonerna och får av detta skäl inte avverkas.</w:t>
      </w:r>
    </w:p>
    <w:p>
      <w:pPr>
        <w:pStyle w:val="Caption"/>
      </w:pPr>
      <w:r>
        <w:drawing>
          <wp:inline xmlns:a="http://schemas.openxmlformats.org/drawingml/2006/main" xmlns:pic="http://schemas.openxmlformats.org/drawingml/2006/picture">
            <wp:extent cx="5486400" cy="6664883"/>
            <wp:docPr id="2" name="Picture 2"/>
            <wp:cNvGraphicFramePr>
              <a:graphicFrameLocks noChangeAspect="1"/>
            </wp:cNvGraphicFramePr>
            <a:graphic>
              <a:graphicData uri="http://schemas.openxmlformats.org/drawingml/2006/picture">
                <pic:pic>
                  <pic:nvPicPr>
                    <pic:cNvPr id="0" name="Östra Luspenåivve karta knärot.png"/>
                    <pic:cNvPicPr/>
                  </pic:nvPicPr>
                  <pic:blipFill>
                    <a:blip r:embed="rId17"/>
                    <a:stretch>
                      <a:fillRect/>
                    </a:stretch>
                  </pic:blipFill>
                  <pic:spPr>
                    <a:xfrm>
                      <a:off x="0" y="0"/>
                      <a:ext cx="5486400" cy="6664883"/>
                    </a:xfrm>
                    <a:prstGeom prst="rect"/>
                  </pic:spPr>
                </pic:pic>
              </a:graphicData>
            </a:graphic>
          </wp:inline>
        </w:drawing>
      </w:r>
    </w:p>
    <w:p>
      <w:pPr>
        <w:pStyle w:val="Caption"/>
      </w:pPr>
      <w:r>
        <w:t>Figur 2. Fyndplatser och buffertzoner för knärot i det avverkningsanmälda området. Endast fyndplaster vars buffertzoner överlappar med det avverkningsanmälda området har tagits med i visualiseringen. Kartans mittpunktskoordinat är N 7274230, E 704000 i SWEREF 99 TM.</w:t>
      </w:r>
    </w:p>
    <w:p>
      <w:pPr>
        <w:pStyle w:val="Caption"/>
      </w:pP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(Skogsstyrelsen, 2016).</w:t>
      </w:r>
    </w:p>
    <w:p>
      <w:r>
        <w:t>I BILAGA 1 finns mer detaljerad information om ekologi samt krav på livsmiljö hos fridlysta arter.</w:t>
      </w:r>
    </w:p>
    <w:p>
      <w:r>
        <w:br w:type="page"/>
      </w:r>
    </w:p>
    <w:p>
      <w:pPr>
        <w:pStyle w:val="Title"/>
      </w:pPr>
      <w:r>
        <w:t>BILAGA 1 - Fridlysta arter</w:t>
      </w:r>
    </w:p>
    <w:p>
      <w:pPr>
        <w:pStyle w:val="Heading1"/>
      </w:pPr>
      <w:r>
        <w:t>Järpe – ekologi samt krav på livsmiljön</w:t>
      </w:r>
    </w:p>
    <w:p>
      <w:r>
        <w:t>Järpe är rödlistad som nära hotad (NT), fridlyst enligt 4§ Artskyddsförordningen och prioriterad art i Skogsvårdslagen. Järpen, som minskat med 25 (10 - 40) % under de senaste 12 åren, har sina livsmiljöer i tät barrskog med inblandning av lövträd och en väl utvecklad flerskiktad struktur med bärris och yngre eller undertryckta, täta granar i ett lägre skikt, ofta utmed bäckar och åar inne i den skyddande granskogen. 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iförhållande till sin generationstid än vad som tidigare varit känt (data från Riksskogstaxeringen) höjdes den till hotkategori sårbar (VU) i rödlistan 2020 (Artdatabanken, 2021).</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 – 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 xml:space="preserve">Ecological Applications, 22, 2049-2064 </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2021. </w:t>
      </w:r>
      <w:r>
        <w:rPr>
          <w:i/>
        </w:rPr>
        <w:t xml:space="preserve">Artfaktablad. Naturvård – artfakta. </w:t>
      </w:r>
      <w:r>
        <w:t xml:space="preserve">SLU Artdatabanken, Uppsala </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 Varje par utnyttjar 400-1 000 hektar skog beroende på skogens kvalitet. En minskning av populationen pågår på grund av minskad tillgång på lämpliga bo- och födoträd och minskad födotillgång. Spillkråkans minskningstakt har uppgått till 19 (24-10) % under de senaste 15 åren.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p>
      <w:pPr>
        <w:pStyle w:val="Heading1"/>
      </w:pPr>
      <w:r>
        <w:t>Tjäder – ekologi samt krav på livsmiljön</w:t>
      </w:r>
    </w:p>
    <w:p>
      <w:r>
        <w:t xml:space="preserve">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2024-08-04</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